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AB" w:rsidRPr="000666A9" w:rsidRDefault="00CE35AB" w:rsidP="000666A9">
      <w:pPr>
        <w:spacing w:before="0" w:after="0"/>
        <w:jc w:val="center"/>
        <w:rPr>
          <w:rFonts w:ascii="Times New Roman" w:hAnsi="Times New Roman" w:cs="Times New Roman"/>
          <w:b/>
          <w:sz w:val="24"/>
          <w:szCs w:val="24"/>
        </w:rPr>
      </w:pPr>
    </w:p>
    <w:p w:rsidR="00B848A1" w:rsidRPr="000666A9" w:rsidRDefault="00B848A1" w:rsidP="000666A9">
      <w:pPr>
        <w:spacing w:before="0" w:after="0"/>
        <w:jc w:val="right"/>
        <w:rPr>
          <w:rFonts w:ascii="Times New Roman" w:hAnsi="Times New Roman" w:cs="Times New Roman"/>
          <w:sz w:val="18"/>
          <w:szCs w:val="18"/>
        </w:rPr>
      </w:pPr>
      <w:r w:rsidRPr="000666A9">
        <w:rPr>
          <w:rFonts w:ascii="Times New Roman" w:hAnsi="Times New Roman" w:cs="Times New Roman"/>
          <w:sz w:val="18"/>
          <w:szCs w:val="18"/>
        </w:rPr>
        <w:t xml:space="preserve">Załącznik nr 1 do Uchwały nr  </w:t>
      </w:r>
      <w:r w:rsidR="00804433">
        <w:rPr>
          <w:rFonts w:ascii="Times New Roman" w:hAnsi="Times New Roman" w:cs="Times New Roman"/>
          <w:sz w:val="18"/>
          <w:szCs w:val="18"/>
        </w:rPr>
        <w:t>4</w:t>
      </w:r>
      <w:bookmarkStart w:id="0" w:name="_GoBack"/>
      <w:bookmarkEnd w:id="0"/>
      <w:r w:rsidR="003766CF">
        <w:rPr>
          <w:rFonts w:ascii="Times New Roman" w:hAnsi="Times New Roman" w:cs="Times New Roman"/>
          <w:sz w:val="18"/>
          <w:szCs w:val="18"/>
        </w:rPr>
        <w:t>/VI/2019</w:t>
      </w:r>
      <w:r w:rsidRPr="000666A9">
        <w:rPr>
          <w:rFonts w:ascii="Times New Roman" w:hAnsi="Times New Roman" w:cs="Times New Roman"/>
          <w:sz w:val="18"/>
          <w:szCs w:val="18"/>
        </w:rPr>
        <w:t xml:space="preserve"> z dnia 29 października 2019 r. </w:t>
      </w:r>
    </w:p>
    <w:p w:rsidR="00CE35AB" w:rsidRPr="000666A9" w:rsidRDefault="00B848A1" w:rsidP="000666A9">
      <w:pPr>
        <w:spacing w:before="0" w:after="0"/>
        <w:jc w:val="right"/>
        <w:rPr>
          <w:rFonts w:ascii="Times New Roman" w:hAnsi="Times New Roman" w:cs="Times New Roman"/>
          <w:sz w:val="18"/>
          <w:szCs w:val="18"/>
        </w:rPr>
      </w:pPr>
      <w:r w:rsidRPr="000666A9">
        <w:rPr>
          <w:rFonts w:ascii="Times New Roman" w:hAnsi="Times New Roman" w:cs="Times New Roman"/>
          <w:sz w:val="18"/>
          <w:szCs w:val="18"/>
        </w:rPr>
        <w:t>Zarządu Stowarzyszenia Lokalna Grupa Działania „Podgrodzie Toruńskie”</w:t>
      </w:r>
    </w:p>
    <w:p w:rsidR="00CE35AB" w:rsidRPr="000666A9" w:rsidRDefault="00CE35AB" w:rsidP="000666A9">
      <w:pPr>
        <w:spacing w:before="0" w:after="0"/>
        <w:jc w:val="right"/>
        <w:rPr>
          <w:rFonts w:ascii="Times New Roman" w:hAnsi="Times New Roman" w:cs="Times New Roman"/>
          <w:sz w:val="24"/>
          <w:szCs w:val="24"/>
        </w:rPr>
      </w:pPr>
    </w:p>
    <w:p w:rsidR="00CE35AB" w:rsidRPr="000666A9" w:rsidRDefault="00B848A1" w:rsidP="000666A9">
      <w:pPr>
        <w:spacing w:before="0" w:after="0"/>
        <w:rPr>
          <w:rFonts w:ascii="Times New Roman" w:hAnsi="Times New Roman" w:cs="Times New Roman"/>
          <w:b/>
          <w:sz w:val="24"/>
          <w:szCs w:val="24"/>
        </w:rPr>
      </w:pPr>
      <w:r w:rsidRPr="000666A9">
        <w:rPr>
          <w:rFonts w:ascii="Times New Roman" w:hAnsi="Times New Roman" w:cs="Times New Roman"/>
          <w:b/>
          <w:sz w:val="24"/>
          <w:szCs w:val="24"/>
        </w:rPr>
        <w:t>Procedura wdrażania grantów</w:t>
      </w:r>
      <w:r w:rsidRPr="000666A9">
        <w:rPr>
          <w:rFonts w:ascii="Times New Roman" w:hAnsi="Times New Roman" w:cs="Times New Roman"/>
          <w:sz w:val="24"/>
          <w:szCs w:val="24"/>
        </w:rPr>
        <w:t xml:space="preserve"> </w:t>
      </w:r>
      <w:r w:rsidR="007E6825">
        <w:rPr>
          <w:rFonts w:ascii="Times New Roman" w:hAnsi="Times New Roman" w:cs="Times New Roman"/>
          <w:sz w:val="24"/>
          <w:szCs w:val="24"/>
        </w:rPr>
        <w:t xml:space="preserve">(P8) </w:t>
      </w:r>
      <w:r w:rsidRPr="000666A9">
        <w:rPr>
          <w:rFonts w:ascii="Times New Roman" w:hAnsi="Times New Roman" w:cs="Times New Roman"/>
          <w:sz w:val="24"/>
          <w:szCs w:val="24"/>
        </w:rPr>
        <w:t>zawiera opis procesów następujących po zawiadomieniu grantobiorców o wyborze.</w:t>
      </w:r>
    </w:p>
    <w:p w:rsidR="00CE35AB" w:rsidRPr="000666A9" w:rsidRDefault="00CE35AB" w:rsidP="000666A9">
      <w:pPr>
        <w:spacing w:before="0" w:after="0"/>
        <w:rPr>
          <w:rFonts w:ascii="Times New Roman" w:hAnsi="Times New Roman" w:cs="Times New Roman"/>
          <w:b/>
          <w:sz w:val="24"/>
          <w:szCs w:val="24"/>
        </w:rPr>
      </w:pPr>
    </w:p>
    <w:p w:rsidR="006065A5" w:rsidRPr="00610658" w:rsidRDefault="006065A5" w:rsidP="00610658">
      <w:pPr>
        <w:pStyle w:val="Akapitzlist"/>
        <w:numPr>
          <w:ilvl w:val="0"/>
          <w:numId w:val="35"/>
        </w:numPr>
        <w:spacing w:before="0" w:after="0"/>
        <w:jc w:val="center"/>
        <w:rPr>
          <w:rFonts w:ascii="Times New Roman" w:hAnsi="Times New Roman" w:cs="Times New Roman"/>
          <w:b/>
          <w:sz w:val="24"/>
          <w:szCs w:val="24"/>
        </w:rPr>
      </w:pPr>
      <w:r w:rsidRPr="000666A9">
        <w:rPr>
          <w:rFonts w:ascii="Times New Roman" w:hAnsi="Times New Roman" w:cs="Times New Roman"/>
          <w:b/>
          <w:sz w:val="24"/>
          <w:szCs w:val="24"/>
        </w:rPr>
        <w:t>Proces podpisania umowy o powierzenie grantu</w:t>
      </w:r>
    </w:p>
    <w:p w:rsidR="006065A5" w:rsidRPr="000666A9" w:rsidRDefault="006065A5" w:rsidP="000666A9">
      <w:pPr>
        <w:pStyle w:val="Standard"/>
        <w:spacing w:line="360" w:lineRule="auto"/>
        <w:ind w:left="284" w:hanging="284"/>
        <w:jc w:val="both"/>
        <w:rPr>
          <w:rFonts w:cs="Times New Roman"/>
        </w:rPr>
      </w:pPr>
      <w:r w:rsidRPr="000666A9">
        <w:rPr>
          <w:rFonts w:cs="Times New Roman"/>
        </w:rPr>
        <w:t>1. Umowa o powierzenie grantu, zwana dalej „umową” zawierana jest pomiędzy LGD a Grantobiorcami, których wnioski o powierzenie grantu zostały wybrane i mieszczą się</w:t>
      </w:r>
      <w:r w:rsidRPr="000666A9">
        <w:rPr>
          <w:rFonts w:cs="Times New Roman"/>
        </w:rPr>
        <w:br/>
        <w:t>w limicie środków dostępnych w naborze.</w:t>
      </w:r>
    </w:p>
    <w:p w:rsidR="006065A5" w:rsidRPr="000666A9" w:rsidRDefault="000666A9" w:rsidP="000666A9">
      <w:pPr>
        <w:pStyle w:val="Standard"/>
        <w:spacing w:line="360" w:lineRule="auto"/>
        <w:jc w:val="both"/>
        <w:rPr>
          <w:rFonts w:cs="Times New Roman"/>
        </w:rPr>
      </w:pPr>
      <w:r w:rsidRPr="000666A9">
        <w:rPr>
          <w:rFonts w:cs="Times New Roman"/>
        </w:rPr>
        <w:t>2</w:t>
      </w:r>
      <w:r w:rsidR="006065A5" w:rsidRPr="000666A9">
        <w:rPr>
          <w:rFonts w:cs="Times New Roman"/>
        </w:rPr>
        <w:t>. Umowa zawierana jest w Biurze LGD.</w:t>
      </w:r>
    </w:p>
    <w:p w:rsidR="002761C3" w:rsidRPr="000666A9" w:rsidRDefault="000666A9" w:rsidP="000666A9">
      <w:pPr>
        <w:pStyle w:val="Standard"/>
        <w:spacing w:line="360" w:lineRule="auto"/>
        <w:ind w:left="284" w:hanging="284"/>
        <w:jc w:val="both"/>
        <w:rPr>
          <w:rFonts w:cs="Times New Roman"/>
        </w:rPr>
      </w:pPr>
      <w:r w:rsidRPr="000666A9">
        <w:rPr>
          <w:rFonts w:cs="Times New Roman"/>
        </w:rPr>
        <w:t>3</w:t>
      </w:r>
      <w:r w:rsidR="006065A5" w:rsidRPr="000666A9">
        <w:rPr>
          <w:rFonts w:cs="Times New Roman"/>
        </w:rPr>
        <w:t xml:space="preserve">. Biuro LGD wyznacza termin i zaprasza grantobiorców do swojego Biura na podpisanie umowy. </w:t>
      </w:r>
      <w:r w:rsidR="006B1197" w:rsidRPr="000666A9">
        <w:rPr>
          <w:rFonts w:cs="Times New Roman"/>
        </w:rPr>
        <w:t>Zaproszenie dostarcza się skutecznie drogą elektroniczną wraz z projektem umowy</w:t>
      </w:r>
      <w:r w:rsidR="006B1197" w:rsidRPr="000666A9">
        <w:rPr>
          <w:rFonts w:cs="Times New Roman"/>
        </w:rPr>
        <w:br/>
        <w:t>o powierzenie grantu i informacją o zabezpieczeniu umowy. Dodatkowo Biuro LGD może listownie poinformować grantobiorcę o zaproszeniu na podpisanie umowy.</w:t>
      </w:r>
    </w:p>
    <w:p w:rsidR="006065A5" w:rsidRPr="000666A9" w:rsidRDefault="000666A9" w:rsidP="000666A9">
      <w:pPr>
        <w:pStyle w:val="Standard"/>
        <w:spacing w:line="360" w:lineRule="auto"/>
        <w:ind w:left="284" w:hanging="284"/>
        <w:jc w:val="both"/>
        <w:rPr>
          <w:rFonts w:cs="Times New Roman"/>
        </w:rPr>
      </w:pPr>
      <w:r w:rsidRPr="000666A9">
        <w:rPr>
          <w:rFonts w:cs="Times New Roman"/>
        </w:rPr>
        <w:t>4</w:t>
      </w:r>
      <w:r w:rsidR="006065A5" w:rsidRPr="000666A9">
        <w:rPr>
          <w:rFonts w:cs="Times New Roman"/>
        </w:rPr>
        <w:t>. W przypadku braku możliwości podpisania umowy przez przedstawicieli grantobiorcy, grantobiorca informuje o tym fakcie LGD. Zostaje ustalony nowy termin podpisania umowy, dogodny dla grantobiorcy, pod rygorem odstąpienia od podpisania umowy. Przedstawiciele grantobiorcy (reprezentacja zgodna z wnioskiem o powierzenie grantu lub notarialnym pełnomocnictwem) osobiście, w Biurze LGD, w obecności pracownika upoważnionego przez LGD dokonują podpisania umowy.</w:t>
      </w:r>
    </w:p>
    <w:p w:rsidR="006065A5" w:rsidRPr="000666A9" w:rsidRDefault="000666A9" w:rsidP="000666A9">
      <w:pPr>
        <w:pStyle w:val="Standard"/>
        <w:spacing w:line="360" w:lineRule="auto"/>
        <w:jc w:val="both"/>
        <w:rPr>
          <w:rFonts w:cs="Times New Roman"/>
        </w:rPr>
      </w:pPr>
      <w:r w:rsidRPr="000666A9">
        <w:rPr>
          <w:rFonts w:cs="Times New Roman"/>
        </w:rPr>
        <w:t>5</w:t>
      </w:r>
      <w:r w:rsidR="006065A5" w:rsidRPr="000666A9">
        <w:rPr>
          <w:rFonts w:cs="Times New Roman"/>
        </w:rPr>
        <w:t>. W przypadku:</w:t>
      </w:r>
    </w:p>
    <w:p w:rsidR="006065A5" w:rsidRPr="000666A9" w:rsidRDefault="006065A5" w:rsidP="000666A9">
      <w:pPr>
        <w:pStyle w:val="Standard"/>
        <w:spacing w:line="360" w:lineRule="auto"/>
        <w:ind w:left="284" w:hanging="284"/>
        <w:jc w:val="both"/>
        <w:rPr>
          <w:rFonts w:cs="Times New Roman"/>
        </w:rPr>
      </w:pPr>
      <w:r w:rsidRPr="000666A9">
        <w:rPr>
          <w:rFonts w:cs="Times New Roman"/>
        </w:rPr>
        <w:t xml:space="preserve">a) odmowy podpisania umowy o powierzenie grantu  </w:t>
      </w:r>
    </w:p>
    <w:p w:rsidR="006065A5" w:rsidRPr="000666A9" w:rsidRDefault="006065A5" w:rsidP="000666A9">
      <w:pPr>
        <w:pStyle w:val="Standard"/>
        <w:spacing w:line="360" w:lineRule="auto"/>
        <w:ind w:left="284" w:hanging="284"/>
        <w:jc w:val="both"/>
        <w:rPr>
          <w:rFonts w:cs="Times New Roman"/>
        </w:rPr>
      </w:pPr>
      <w:r w:rsidRPr="000666A9">
        <w:rPr>
          <w:rFonts w:cs="Times New Roman"/>
        </w:rPr>
        <w:t>b) odstąpienia grantobiorcy od podpisania umowy powierzenia grantu,</w:t>
      </w:r>
    </w:p>
    <w:p w:rsidR="006065A5" w:rsidRPr="000666A9" w:rsidRDefault="006065A5" w:rsidP="000666A9">
      <w:pPr>
        <w:pStyle w:val="Standard"/>
        <w:spacing w:line="360" w:lineRule="auto"/>
        <w:ind w:left="284" w:hanging="284"/>
        <w:jc w:val="both"/>
        <w:rPr>
          <w:rFonts w:cs="Times New Roman"/>
        </w:rPr>
      </w:pPr>
      <w:r w:rsidRPr="000666A9">
        <w:rPr>
          <w:rFonts w:cs="Times New Roman"/>
        </w:rPr>
        <w:t>c) rozwiązania umowy powierzenia grantu -</w:t>
      </w:r>
    </w:p>
    <w:p w:rsidR="006065A5" w:rsidRPr="000666A9" w:rsidRDefault="006065A5" w:rsidP="000666A9">
      <w:pPr>
        <w:pStyle w:val="Standard"/>
        <w:spacing w:line="360" w:lineRule="auto"/>
        <w:ind w:left="284"/>
        <w:jc w:val="both"/>
        <w:rPr>
          <w:rFonts w:cs="Times New Roman"/>
        </w:rPr>
      </w:pPr>
      <w:r w:rsidRPr="000666A9">
        <w:rPr>
          <w:rFonts w:cs="Times New Roman"/>
        </w:rPr>
        <w:t>do podpisania umowy powierzenia grantu zapraszany jest kolejny wnioskodawca z listy wybranych grantów, który nie został zaproszony do podpisania umowy ze względu na wyczerpanie się puli dostępnych środków (jeśli koszty realizacji jego operacji mieszczą się</w:t>
      </w:r>
      <w:r w:rsidRPr="000666A9">
        <w:rPr>
          <w:rFonts w:cs="Times New Roman"/>
        </w:rPr>
        <w:br/>
        <w:t>w limicie środków przeznaczonych na realizacje operacji w tym naborze). W takim przypad</w:t>
      </w:r>
      <w:r w:rsidR="00740BB0">
        <w:rPr>
          <w:rFonts w:cs="Times New Roman"/>
        </w:rPr>
        <w:t>ku należy zaktualizować Uchwałę – np. w trybie obiegowym.</w:t>
      </w:r>
    </w:p>
    <w:p w:rsidR="006065A5" w:rsidRPr="00740BB0" w:rsidRDefault="006065A5" w:rsidP="00740BB0">
      <w:pPr>
        <w:spacing w:before="0" w:after="0"/>
        <w:rPr>
          <w:rFonts w:ascii="Times New Roman" w:hAnsi="Times New Roman" w:cs="Times New Roman"/>
          <w:b/>
          <w:sz w:val="24"/>
          <w:szCs w:val="24"/>
        </w:rPr>
      </w:pPr>
    </w:p>
    <w:p w:rsidR="00CE35AB" w:rsidRPr="003F7DBE" w:rsidRDefault="00CE35AB" w:rsidP="003F7DBE">
      <w:pPr>
        <w:pStyle w:val="Akapitzlist"/>
        <w:numPr>
          <w:ilvl w:val="0"/>
          <w:numId w:val="35"/>
        </w:numPr>
        <w:spacing w:before="0" w:after="0"/>
        <w:jc w:val="center"/>
        <w:rPr>
          <w:rFonts w:ascii="Times New Roman" w:hAnsi="Times New Roman" w:cs="Times New Roman"/>
          <w:b/>
          <w:sz w:val="24"/>
          <w:szCs w:val="24"/>
        </w:rPr>
      </w:pPr>
      <w:r w:rsidRPr="000666A9">
        <w:rPr>
          <w:rFonts w:ascii="Times New Roman" w:hAnsi="Times New Roman" w:cs="Times New Roman"/>
          <w:b/>
          <w:sz w:val="24"/>
          <w:szCs w:val="24"/>
        </w:rPr>
        <w:t>Zaliczka</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Zaliczka jest udzielana Grantobiorcy w wysokości nie większej i na okres nie dłuższy niż jest to niezbędne dla prawidłowej realizacji projektu objętego grantem. Maksymalna kwota udzielonej zaliczki nie może przekroczyć 80 % grantu.</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Dofinansowanie w formie zaliczki może być przekazane w transzach przed zakończeniem realizacji projektu objętego grantem. Wypłata transz następować będzie zgodnie z harmonogramem płat</w:t>
      </w:r>
      <w:r w:rsidR="003F7DBE">
        <w:rPr>
          <w:rFonts w:ascii="Times New Roman" w:hAnsi="Times New Roman" w:cs="Times New Roman"/>
          <w:sz w:val="24"/>
          <w:szCs w:val="24"/>
        </w:rPr>
        <w:t>ności stanowiącym załącznik</w:t>
      </w:r>
      <w:r w:rsidRPr="000666A9">
        <w:rPr>
          <w:rFonts w:ascii="Times New Roman" w:hAnsi="Times New Roman" w:cs="Times New Roman"/>
          <w:sz w:val="24"/>
          <w:szCs w:val="24"/>
        </w:rPr>
        <w:t xml:space="preserve"> do Umowy.</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lastRenderedPageBreak/>
        <w:t>Pierwsza oraz kolejne transze są przekazywane w wysokości określonej w zatwierdzonym harmonogramie płatności w terminie 14 dni roboczych, po przeprowadzeniu i pozytywnym zakończeniu weryfikacji wniosku o rozliczenie grantu pod względem spełniania warunków określonych w Umowie.</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Pierwsza transza dofinansowania jest przekazywana po wniesieniu przez Grantobiorcę prawidłowo ustanowionego zab</w:t>
      </w:r>
      <w:r w:rsidR="003F7DBE">
        <w:rPr>
          <w:rFonts w:ascii="Times New Roman" w:hAnsi="Times New Roman" w:cs="Times New Roman"/>
          <w:sz w:val="24"/>
          <w:szCs w:val="24"/>
        </w:rPr>
        <w:t>ezpieczenia, o którym mowa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Kwota wnioskowanej transzy musi być uzasadniona faktycznie planowanymi działaniami projektu objętego grantem.</w:t>
      </w:r>
    </w:p>
    <w:p w:rsidR="00CE35AB" w:rsidRPr="000666A9" w:rsidRDefault="00CE35AB" w:rsidP="000666A9">
      <w:pPr>
        <w:pStyle w:val="Akapitzlist"/>
        <w:numPr>
          <w:ilvl w:val="0"/>
          <w:numId w:val="1"/>
        </w:numPr>
        <w:spacing w:before="0" w:after="0"/>
        <w:ind w:left="426" w:hanging="568"/>
        <w:rPr>
          <w:rFonts w:ascii="Times New Roman" w:hAnsi="Times New Roman" w:cs="Times New Roman"/>
          <w:sz w:val="24"/>
          <w:szCs w:val="24"/>
        </w:rPr>
      </w:pPr>
      <w:r w:rsidRPr="000666A9">
        <w:rPr>
          <w:rFonts w:ascii="Times New Roman" w:hAnsi="Times New Roman" w:cs="Times New Roman"/>
          <w:sz w:val="24"/>
          <w:szCs w:val="24"/>
        </w:rPr>
        <w:t>W przypadku niemożliwości dokonania wypłaty transzy dofinansowania spowodowanej okresowym brakiem środ</w:t>
      </w:r>
      <w:r w:rsidR="003F7DBE">
        <w:rPr>
          <w:rFonts w:ascii="Times New Roman" w:hAnsi="Times New Roman" w:cs="Times New Roman"/>
          <w:sz w:val="24"/>
          <w:szCs w:val="24"/>
        </w:rPr>
        <w:t>ków, o których mowa w Umowie</w:t>
      </w:r>
      <w:r w:rsidRPr="000666A9">
        <w:rPr>
          <w:rFonts w:ascii="Times New Roman" w:hAnsi="Times New Roman" w:cs="Times New Roman"/>
          <w:sz w:val="24"/>
          <w:szCs w:val="24"/>
        </w:rPr>
        <w:t>, Grantobiorca ma prawo renegocjować harmonogram realizacji projektu objętego grantem wskazany we wniosku o dofinansowanie i harmonogram płatn</w:t>
      </w:r>
      <w:r w:rsidR="003F7DBE">
        <w:rPr>
          <w:rFonts w:ascii="Times New Roman" w:hAnsi="Times New Roman" w:cs="Times New Roman"/>
          <w:sz w:val="24"/>
          <w:szCs w:val="24"/>
        </w:rPr>
        <w:t>ości, o którym mowa w Umowie</w:t>
      </w:r>
      <w:r w:rsidRPr="000666A9">
        <w:rPr>
          <w:rFonts w:ascii="Times New Roman" w:hAnsi="Times New Roman" w:cs="Times New Roman"/>
          <w:sz w:val="24"/>
          <w:szCs w:val="24"/>
        </w:rPr>
        <w:t>.</w:t>
      </w:r>
    </w:p>
    <w:p w:rsidR="00CE35AB" w:rsidRPr="000666A9" w:rsidRDefault="00CE35AB" w:rsidP="000666A9">
      <w:pPr>
        <w:spacing w:before="0" w:after="0"/>
        <w:jc w:val="center"/>
        <w:rPr>
          <w:rFonts w:ascii="Times New Roman" w:hAnsi="Times New Roman" w:cs="Times New Roman"/>
          <w:b/>
          <w:sz w:val="24"/>
          <w:szCs w:val="24"/>
        </w:rPr>
      </w:pPr>
    </w:p>
    <w:p w:rsidR="00CE35AB" w:rsidRPr="003F7DBE" w:rsidRDefault="00CE35AB" w:rsidP="003F7DBE">
      <w:pPr>
        <w:pStyle w:val="Akapitzlist"/>
        <w:numPr>
          <w:ilvl w:val="0"/>
          <w:numId w:val="35"/>
        </w:numPr>
        <w:spacing w:before="0" w:after="0"/>
        <w:jc w:val="center"/>
        <w:rPr>
          <w:rFonts w:ascii="Times New Roman" w:hAnsi="Times New Roman" w:cs="Times New Roman"/>
          <w:b/>
          <w:sz w:val="24"/>
          <w:szCs w:val="24"/>
        </w:rPr>
      </w:pPr>
      <w:r w:rsidRPr="003F7DBE">
        <w:rPr>
          <w:rFonts w:ascii="Times New Roman" w:hAnsi="Times New Roman" w:cs="Times New Roman"/>
          <w:b/>
          <w:sz w:val="24"/>
          <w:szCs w:val="24"/>
        </w:rPr>
        <w:t>Rozliczenie płatności</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sporządza i przekazuje do LGD propozycję harmonogramu płatności, który po akceptacji LGD</w:t>
      </w:r>
      <w:r w:rsidR="003F7DBE">
        <w:rPr>
          <w:rFonts w:ascii="Times New Roman" w:hAnsi="Times New Roman" w:cs="Times New Roman"/>
          <w:sz w:val="24"/>
          <w:szCs w:val="24"/>
        </w:rPr>
        <w:t xml:space="preserve"> stanowi załącznik</w:t>
      </w:r>
      <w:r w:rsidRPr="000666A9">
        <w:rPr>
          <w:rFonts w:ascii="Times New Roman" w:hAnsi="Times New Roman" w:cs="Times New Roman"/>
          <w:sz w:val="24"/>
          <w:szCs w:val="24"/>
        </w:rPr>
        <w:t xml:space="preserve"> do Umowy. Harmonogram płatności stanowi integralną część Umowy, a jego aktualizacje przekazywane są zgodnie z ust. 2 oraz 4 i nie wymagają zawarcia aneksu. Aktualizacja harmonogramu płatności wymaga akceptacji LGD.</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składania zaktualizowanego harmonogramu płatności, w przypadku jego zmiany w stosunku do obowiązującego, wraz z wnioskiem o rozliczenie grantu. W przypadku, gdy po weryfikacji wniosku o rozliczenie grantu złożony harmonogram płatności będzie wymagał korekty, Grantobiorca jest zobowiązany do jej dokonania w terminie wskazanym przez LGD.</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Wniosek o rozliczenie grantu wraz z wymaganymi załącznikami, w ramach którego Grantobiorca wnioskuje o przekazanie grantu oraz przekazuje informację o postępie realizacji grantu są składane przez Grantobiorcę w wersji papierowej i elektronicznej.</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Warunkiem zatwierdzenia wniosku o rozliczenie grantu i przekazanie Grantobiorcy kolejnej transzy dofinansowania jest:</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złożenie przez Grantobiorcę do LGD prawidłowego, kompletnego i spełniającego wymogi formalne i merytoryczne wniosku o rozliczenie grantu,</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złożenie oznaczonych datą i potwierdzonych za zgodność z oryginałem przez Grantobiorcę lub osobę upoważnioną do reprezentowania Grantobiorcy kopii dokumentów potwierdzających odbiór urządzeń/sprzętu lub wykonanie prac, jeżeli dokumenty odbioru wymagane są prawem;</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złożenie informacji o wszystkich uczestnikach projektu objętego grantem, zgodnie z zakr</w:t>
      </w:r>
      <w:r w:rsidR="008B6EB4">
        <w:rPr>
          <w:rFonts w:ascii="Times New Roman" w:hAnsi="Times New Roman" w:cs="Times New Roman"/>
          <w:sz w:val="24"/>
          <w:szCs w:val="24"/>
        </w:rPr>
        <w:t>esem określonym w załączniku</w:t>
      </w:r>
      <w:r w:rsidRPr="000666A9">
        <w:rPr>
          <w:rFonts w:ascii="Times New Roman" w:hAnsi="Times New Roman" w:cs="Times New Roman"/>
          <w:sz w:val="24"/>
          <w:szCs w:val="24"/>
        </w:rPr>
        <w:t xml:space="preserve"> do Umowy i na warunkach określonych Wytycznych w zakresie monitorowania;</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lastRenderedPageBreak/>
        <w:t>złożenie dokumen</w:t>
      </w:r>
      <w:r w:rsidR="00091586">
        <w:rPr>
          <w:rFonts w:ascii="Times New Roman" w:hAnsi="Times New Roman" w:cs="Times New Roman"/>
          <w:sz w:val="24"/>
          <w:szCs w:val="24"/>
        </w:rPr>
        <w:t>tów, o których mowa w Umowie</w:t>
      </w:r>
      <w:r w:rsidRPr="000666A9">
        <w:rPr>
          <w:rFonts w:ascii="Times New Roman" w:hAnsi="Times New Roman" w:cs="Times New Roman"/>
          <w:sz w:val="24"/>
          <w:szCs w:val="24"/>
        </w:rPr>
        <w:t>, potwierdzających wykonanie wskaźników i odnoszących się do wniosku o rozliczenie grantu;</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dokonanie przez LGD poświadczenia realizacji projektu objętego grantem;</w:t>
      </w:r>
    </w:p>
    <w:p w:rsidR="00CE35AB" w:rsidRPr="000666A9" w:rsidRDefault="00CE35AB" w:rsidP="000666A9">
      <w:pPr>
        <w:pStyle w:val="Akapitzlist"/>
        <w:numPr>
          <w:ilvl w:val="0"/>
          <w:numId w:val="3"/>
        </w:numPr>
        <w:spacing w:before="0" w:after="0"/>
        <w:rPr>
          <w:rFonts w:ascii="Times New Roman" w:hAnsi="Times New Roman" w:cs="Times New Roman"/>
          <w:sz w:val="24"/>
          <w:szCs w:val="24"/>
        </w:rPr>
      </w:pPr>
      <w:r w:rsidRPr="000666A9">
        <w:rPr>
          <w:rFonts w:ascii="Times New Roman" w:hAnsi="Times New Roman" w:cs="Times New Roman"/>
          <w:sz w:val="24"/>
          <w:szCs w:val="24"/>
        </w:rPr>
        <w:t>dostępność ś</w:t>
      </w:r>
      <w:r w:rsidR="00570E78">
        <w:rPr>
          <w:rFonts w:ascii="Times New Roman" w:hAnsi="Times New Roman" w:cs="Times New Roman"/>
          <w:sz w:val="24"/>
          <w:szCs w:val="24"/>
        </w:rPr>
        <w:t>rodków na rachunku bankowym LGD.</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Kwalifikowalność poniesionych wydatków oceniana jest w trakcie realizacji projektu objętego grantem, w trakcie kontroli grantu na miejscu, kontroli trwałości oraz innych czynności kontrolnych prowadzonych przez podmioty do tego u</w:t>
      </w:r>
      <w:r w:rsidR="00091586">
        <w:rPr>
          <w:rFonts w:ascii="Times New Roman" w:hAnsi="Times New Roman" w:cs="Times New Roman"/>
          <w:sz w:val="24"/>
          <w:szCs w:val="24"/>
        </w:rPr>
        <w:t>poważnione, o których mowa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Do oceny kwalifikowalności poniesionych wydatków stosuje się obowiązującą w dniu poniesienia wydatku wersję Wytycznych w zakresie kwalifikowalności wydatków. W przypadku, gdy ogłoszona w trakcie realizacji projektu objętego grantem (po podpisaniu Umowy) wersja ww. wytycznych wprowadza rozwiązania korzystniejsze dla Grantobiorcy, będą one miały zastosowanie w odniesieniu do wydatków w ramach Funduszu poniesionych przed dniem stosowania ww. wersji wytycznych, z zastrzeżeniem uregulowań zawartych w kryteriach wyboru operacji oraz ogłoszeniu o naborze wniosków.</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po dokonaniu weryfikacji przekazanego przez Grantobiorcę wniosku o rozliczenie grantu i przeprowadzeniu poświadczenia prawidłowości realizacji projektu objętego grantem, zatwierdza wniosek o rozliczenie grantu i przekazuje Grantobiorcy pisemną informację w tym zakresie.</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W przypadku stwierdzenia błędów formalnych, merytorycznych lub rachunkowych w złożonym wniosku o rozliczenie grantu, LGD wzywa Grantobiorcę do poprawienia lub uzupełnienia wniosku, bądź do złożenia dodatkowych wyjaśnień w terminie wyznaczonym przez LGD, jednakże nie krótszym niż 7 dni </w:t>
      </w:r>
      <w:bookmarkStart w:id="1" w:name="_Hlk512601589"/>
      <w:r w:rsidRPr="000666A9">
        <w:rPr>
          <w:rFonts w:ascii="Times New Roman" w:hAnsi="Times New Roman" w:cs="Times New Roman"/>
          <w:sz w:val="24"/>
          <w:szCs w:val="24"/>
        </w:rPr>
        <w:t>kalendarzowych</w:t>
      </w:r>
      <w:bookmarkEnd w:id="1"/>
      <w:r w:rsidRPr="000666A9">
        <w:rPr>
          <w:rFonts w:ascii="Times New Roman" w:hAnsi="Times New Roman" w:cs="Times New Roman"/>
          <w:sz w:val="24"/>
          <w:szCs w:val="24"/>
        </w:rPr>
        <w:t>. Powyższe nie wyklucza możliwości samodzielnego dokonania przez LGD uzupełnienia lub poprawienia wniosku o rozliczenie grantu z zastrzeżeniem ust. 10.</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nie może poprawiać lub uzupełniać informacji o postępach rzeczowych oraz informacji finansowych zawartych we wniosku o rozliczenie grantu i załącznikach do niego, o ile nie dotyczy to oczywistych omyłek pisarskich i rachunkowych.</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składa końcowy wniosek o rozliczenie grantu do LGD, w terminie do 14 dni kalendarzowych od dnia zakończenia realizacji projektu objętego g</w:t>
      </w:r>
      <w:r w:rsidR="00E37859">
        <w:rPr>
          <w:rFonts w:ascii="Times New Roman" w:hAnsi="Times New Roman" w:cs="Times New Roman"/>
          <w:sz w:val="24"/>
          <w:szCs w:val="24"/>
        </w:rPr>
        <w:t>rantem, określonego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Płatność końcowa jest przekazywana na wskazany przez Grantobiorcę rachunek bankowy, o którym mowa w </w:t>
      </w:r>
      <w:r w:rsidR="00E37859">
        <w:rPr>
          <w:rFonts w:ascii="Times New Roman" w:hAnsi="Times New Roman" w:cs="Times New Roman"/>
          <w:sz w:val="24"/>
          <w:szCs w:val="24"/>
        </w:rPr>
        <w:t>Umowie</w:t>
      </w:r>
      <w:r w:rsidRPr="000666A9">
        <w:rPr>
          <w:rFonts w:ascii="Times New Roman" w:hAnsi="Times New Roman" w:cs="Times New Roman"/>
          <w:sz w:val="24"/>
          <w:szCs w:val="24"/>
        </w:rPr>
        <w:t xml:space="preserve"> w terminie nie dłuższym niż 14 dni roboczych, licząc od dnia zatwierdzenia wniosku o rozliczenie grantu, pod warunkiem dostępności środków finansowych na rachunku bankowym LGD.</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rozlicza projekt objęty grantem na etapie składania końcowego wniosku o rozliczenie grantu.</w:t>
      </w:r>
    </w:p>
    <w:p w:rsidR="00CE35AB" w:rsidRPr="000666A9" w:rsidRDefault="00CE35AB" w:rsidP="000666A9">
      <w:pPr>
        <w:pStyle w:val="Akapitzlist"/>
        <w:numPr>
          <w:ilvl w:val="0"/>
          <w:numId w:val="4"/>
        </w:numPr>
        <w:spacing w:before="0" w:after="0"/>
        <w:rPr>
          <w:rFonts w:ascii="Times New Roman" w:hAnsi="Times New Roman" w:cs="Times New Roman"/>
          <w:sz w:val="24"/>
          <w:szCs w:val="24"/>
        </w:rPr>
      </w:pPr>
      <w:r w:rsidRPr="000666A9">
        <w:rPr>
          <w:rFonts w:ascii="Times New Roman" w:hAnsi="Times New Roman" w:cs="Times New Roman"/>
          <w:sz w:val="24"/>
          <w:szCs w:val="24"/>
        </w:rPr>
        <w:lastRenderedPageBreak/>
        <w:t>W przypadku niezrealizowania wskaźników lub niespełnienia kryterium wyboru operacji, LGD może uznać całość lub odpowiednią część rozliczonej kwoty uproszczonej w ramach projektu objętego grantem za niekwalifikowaną;</w:t>
      </w:r>
    </w:p>
    <w:p w:rsidR="00CE35AB" w:rsidRPr="000666A9" w:rsidRDefault="00CE35AB" w:rsidP="000666A9">
      <w:pPr>
        <w:pStyle w:val="Akapitzlist"/>
        <w:numPr>
          <w:ilvl w:val="0"/>
          <w:numId w:val="4"/>
        </w:numPr>
        <w:spacing w:before="0" w:after="0"/>
        <w:rPr>
          <w:rFonts w:ascii="Times New Roman" w:hAnsi="Times New Roman" w:cs="Times New Roman"/>
          <w:sz w:val="24"/>
          <w:szCs w:val="24"/>
        </w:rPr>
      </w:pPr>
      <w:r w:rsidRPr="000666A9">
        <w:rPr>
          <w:rFonts w:ascii="Times New Roman" w:hAnsi="Times New Roman" w:cs="Times New Roman"/>
          <w:sz w:val="24"/>
          <w:szCs w:val="24"/>
        </w:rPr>
        <w:t>W przypadku niezrealizowania wskaźników Grantobiorca może również sam zwrócić się do LGD z wnioskiem o proporcjonalne rozliczenie kwoty uproszczonej do poziomu osiągniętych wskaźników. We wniosku Grantobiorca powinien przedstawić przyczyny nieosiągnięcia w pełni założonych wskaźników oraz wykazać swoje starania zmierzające do osiągnięcia tych założeń lub wykazać wystąpienie tzw. siły wyższej. LGD w takiej sytuacji może podjąć decyzję o uznaniu części przyznanej kwoty uproszczonej za niekwalifikowalną i żądać jej zwrotu.</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zwraca tę część grantu, który dotyczy niekwalifikowalnych wydatków w ramach kwoty uproszczonej, w terminie 30 dni kalendarzowych od dnia zatwierdzenia przez LGD końcowego wniosku o rozliczenie płatności. W przypadku niedokonania zwrotu w ww. ter</w:t>
      </w:r>
      <w:r w:rsidR="00E37859">
        <w:rPr>
          <w:rFonts w:ascii="Times New Roman" w:hAnsi="Times New Roman" w:cs="Times New Roman"/>
          <w:sz w:val="24"/>
          <w:szCs w:val="24"/>
        </w:rPr>
        <w:t>minie, stosuje się przepisy zawarte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Bieg terminu płatności, o którym mowa w ust. 13, może zostać przerwany przez LGD w jednym z następujących przypadków:</w:t>
      </w:r>
    </w:p>
    <w:p w:rsidR="00CE35AB" w:rsidRPr="000666A9" w:rsidRDefault="00CE35AB" w:rsidP="000666A9">
      <w:pPr>
        <w:pStyle w:val="Akapitzlist"/>
        <w:numPr>
          <w:ilvl w:val="0"/>
          <w:numId w:val="5"/>
        </w:numPr>
        <w:spacing w:before="0" w:after="0"/>
        <w:rPr>
          <w:rFonts w:ascii="Times New Roman" w:hAnsi="Times New Roman" w:cs="Times New Roman"/>
          <w:sz w:val="24"/>
          <w:szCs w:val="24"/>
        </w:rPr>
      </w:pPr>
      <w:r w:rsidRPr="000666A9">
        <w:rPr>
          <w:rFonts w:ascii="Times New Roman" w:hAnsi="Times New Roman" w:cs="Times New Roman"/>
          <w:sz w:val="24"/>
          <w:szCs w:val="24"/>
        </w:rPr>
        <w:t>kwota ujęta we wniosku o rozliczenie grantu jest nienależna lub odpowiednie dokumenty potwierdzające realizację projektu objętego grantem nie zostały przedłożone;</w:t>
      </w:r>
    </w:p>
    <w:p w:rsidR="00CE35AB" w:rsidRPr="000666A9" w:rsidRDefault="00CE35AB" w:rsidP="000666A9">
      <w:pPr>
        <w:pStyle w:val="Akapitzlist"/>
        <w:numPr>
          <w:ilvl w:val="0"/>
          <w:numId w:val="5"/>
        </w:numPr>
        <w:spacing w:before="0" w:after="0"/>
        <w:rPr>
          <w:rFonts w:ascii="Times New Roman" w:hAnsi="Times New Roman" w:cs="Times New Roman"/>
          <w:sz w:val="24"/>
          <w:szCs w:val="24"/>
        </w:rPr>
      </w:pPr>
      <w:r w:rsidRPr="000666A9">
        <w:rPr>
          <w:rFonts w:ascii="Times New Roman" w:hAnsi="Times New Roman" w:cs="Times New Roman"/>
          <w:sz w:val="24"/>
          <w:szCs w:val="24"/>
        </w:rPr>
        <w:t>wszczęto dochodzenie w związku z ewentualnymi nieprawidłowościami mającymi wpływ na dane wydatki.</w:t>
      </w:r>
    </w:p>
    <w:p w:rsidR="00CE35AB" w:rsidRPr="000666A9" w:rsidRDefault="00CE35AB" w:rsidP="000666A9">
      <w:pPr>
        <w:spacing w:before="0" w:after="0"/>
        <w:ind w:left="426"/>
        <w:rPr>
          <w:rFonts w:ascii="Times New Roman" w:hAnsi="Times New Roman" w:cs="Times New Roman"/>
          <w:sz w:val="24"/>
          <w:szCs w:val="24"/>
        </w:rPr>
      </w:pPr>
      <w:r w:rsidRPr="000666A9">
        <w:rPr>
          <w:rFonts w:ascii="Times New Roman" w:hAnsi="Times New Roman" w:cs="Times New Roman"/>
          <w:sz w:val="24"/>
          <w:szCs w:val="24"/>
        </w:rPr>
        <w:t>Grantobiorca jest informowany na piśmie o wstrzymaniu i o jego przyczynach.</w:t>
      </w:r>
    </w:p>
    <w:p w:rsidR="00CE35AB" w:rsidRPr="000666A9" w:rsidRDefault="00CE35AB" w:rsidP="000666A9">
      <w:pPr>
        <w:pStyle w:val="Akapitzlist"/>
        <w:numPr>
          <w:ilvl w:val="0"/>
          <w:numId w:val="2"/>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przypadku braku wystarczających środków na rachunku bankowym LGD, z którego dokonywana jest płatność, grant zostanie wypłacony Grantobiorcy niezwłocznie po wpływie w niezbędnej wysokości środków na rachunek bankowy LGD.</w:t>
      </w:r>
    </w:p>
    <w:p w:rsidR="00CE35AB" w:rsidRPr="000666A9" w:rsidRDefault="00CE35AB" w:rsidP="000666A9">
      <w:pPr>
        <w:spacing w:before="0" w:after="0"/>
        <w:jc w:val="center"/>
        <w:rPr>
          <w:rFonts w:ascii="Times New Roman" w:hAnsi="Times New Roman" w:cs="Times New Roman"/>
          <w:b/>
          <w:sz w:val="24"/>
          <w:szCs w:val="24"/>
        </w:rPr>
      </w:pPr>
    </w:p>
    <w:p w:rsidR="00CE35AB" w:rsidRPr="00E37859" w:rsidRDefault="00CE35AB" w:rsidP="00E37859">
      <w:pPr>
        <w:pStyle w:val="Akapitzlist"/>
        <w:numPr>
          <w:ilvl w:val="0"/>
          <w:numId w:val="35"/>
        </w:numPr>
        <w:spacing w:before="0" w:after="0"/>
        <w:jc w:val="center"/>
        <w:rPr>
          <w:rFonts w:ascii="Times New Roman" w:hAnsi="Times New Roman" w:cs="Times New Roman"/>
          <w:b/>
          <w:sz w:val="24"/>
          <w:szCs w:val="24"/>
        </w:rPr>
      </w:pPr>
      <w:r w:rsidRPr="00E37859">
        <w:rPr>
          <w:rFonts w:ascii="Times New Roman" w:hAnsi="Times New Roman" w:cs="Times New Roman"/>
          <w:b/>
          <w:sz w:val="24"/>
          <w:szCs w:val="24"/>
        </w:rPr>
        <w:t>Zabezpieczenie prawidłowej realizacji Umowy</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w:t>
      </w:r>
      <w:r w:rsidR="00E37859">
        <w:rPr>
          <w:rFonts w:ascii="Times New Roman" w:hAnsi="Times New Roman" w:cs="Times New Roman"/>
          <w:sz w:val="24"/>
          <w:szCs w:val="24"/>
        </w:rPr>
        <w:t>antu, o której mowa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składa zabezpieczenie w formie weksla in blanco wraz z deklaracją wekslową</w:t>
      </w:r>
      <w:r w:rsidRPr="000666A9">
        <w:rPr>
          <w:rStyle w:val="Odwoanieprzypisudolnego"/>
          <w:rFonts w:ascii="Times New Roman" w:hAnsi="Times New Roman" w:cs="Times New Roman"/>
          <w:sz w:val="24"/>
          <w:szCs w:val="24"/>
        </w:rPr>
        <w:footnoteReference w:id="1"/>
      </w:r>
      <w:r w:rsidRPr="000666A9">
        <w:rPr>
          <w:rFonts w:ascii="Times New Roman" w:hAnsi="Times New Roman" w:cs="Times New Roman"/>
          <w:sz w:val="24"/>
          <w:szCs w:val="24"/>
        </w:rPr>
        <w:t>.</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ustanawia dodatkowe zabezpieczenie w następującej formie</w:t>
      </w:r>
      <w:r w:rsidRPr="000666A9">
        <w:rPr>
          <w:rStyle w:val="Odwoanieprzypisudolnego"/>
          <w:rFonts w:ascii="Times New Roman" w:hAnsi="Times New Roman" w:cs="Times New Roman"/>
          <w:sz w:val="24"/>
          <w:szCs w:val="24"/>
        </w:rPr>
        <w:footnoteReference w:id="2"/>
      </w:r>
      <w:r w:rsidRPr="000666A9">
        <w:rPr>
          <w:rFonts w:ascii="Times New Roman" w:hAnsi="Times New Roman" w:cs="Times New Roman"/>
          <w:sz w:val="24"/>
          <w:szCs w:val="24"/>
        </w:rPr>
        <w:t>:</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pieniężnej;</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lastRenderedPageBreak/>
        <w:t>poręczenia bankowego lub poręczenia spółdzielczej kasy oszczędnościowo-kredytowej, z tym że zobowiązanie kasy jest zawsze zobowiązaniem pieniężnym;</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gwarancji bankowej;</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gwarancji ubezpieczeniowej;</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poręczenia udzielonego przez podmioty, o których mowa w art. 6b ust. 5 pkt 2 ustawy z dnia 9 listopada 2000 r. o utworzeniu Polskiej Agencji Rozwoju Przedsiębiorczości (Dz. U. z 2016 r. poz. 359);</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weksla z poręczeniem wekslowym banku lub spółdzielczej kasy oszczędnościowo-kredytowej;</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zastawu na papierach wartościowych emitowanych przez Skarb Państwa lub jednostkę samorządu terytorialnego;</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przewłaszczenia rzeczy ruchomych Beneficjenta na zabezpieczenie;</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hipoteki, w przypadku, gdy Instytucja Zarządzająca RPO WK-P uzna to za konieczne, hipoteka ustanawiana jest wraz z cesją praw z polisy ubezpieczenia nieruchomości będącej przedmiotem hipoteki;</w:t>
      </w:r>
    </w:p>
    <w:p w:rsidR="00CE35AB" w:rsidRPr="000666A9" w:rsidRDefault="00CE35AB" w:rsidP="000666A9">
      <w:pPr>
        <w:pStyle w:val="Akapitzlist"/>
        <w:numPr>
          <w:ilvl w:val="0"/>
          <w:numId w:val="7"/>
        </w:numPr>
        <w:spacing w:before="0" w:after="0"/>
        <w:rPr>
          <w:rFonts w:ascii="Times New Roman" w:hAnsi="Times New Roman" w:cs="Times New Roman"/>
          <w:sz w:val="24"/>
          <w:szCs w:val="24"/>
        </w:rPr>
      </w:pPr>
      <w:r w:rsidRPr="000666A9">
        <w:rPr>
          <w:rFonts w:ascii="Times New Roman" w:hAnsi="Times New Roman" w:cs="Times New Roman"/>
          <w:sz w:val="24"/>
          <w:szCs w:val="24"/>
        </w:rPr>
        <w:t>poręczenia według prawa cywilnego.</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szczególnie uzasadnionych przypadkach, w tym, ze względu na wybraną formę zabezpieczenia wymagającą podjęcia czynności sądowych przewidzianych prawem polskim, LGD może na pisemnie uzasadniony wniosek Grantobiorcy, wydłużyć termin wniesienia zabezpieczenia. W tym przypadku Grantobiorca nie może składać do LGD wniosku o rozliczenie grantu do dnia prawidłowego ustanowienia zabezpieczenia. Jeżeli Grantobiorca złoży wniosek o rozliczenie grantu, nie będzie podlegał on weryfikacji.</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przypadku rozliczenia przez Grantobiorcę całości grantu w ramach projektu objętego grantem, w którym zabezpieczenie było ustanowione w formie innej niż weksel in blanco wraz z deklaracją wekslową, może ono ulec zmianie na wniosek Grantobiorcy i przyjąć formę weksla in blanco wraz z deklaracją wekslową za zgodą LGD.</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W przypadku prawidłowego wypełnienia przez Grantobiorcę wszelkich zobowiązań określonych w Umowie, LGD zwróci Grantobiorcy ustanowione zabezpieczenie lub dokona jego komisyjnego zniszczenia po upływie okresu, </w:t>
      </w:r>
      <w:r w:rsidRPr="000666A9">
        <w:rPr>
          <w:rFonts w:ascii="Times New Roman" w:hAnsi="Times New Roman" w:cs="Times New Roman"/>
          <w:sz w:val="24"/>
          <w:szCs w:val="24"/>
        </w:rPr>
        <w:br/>
        <w:t>o którym mowa w ust. 7, z zastrzeżeniem ust. 8.</w:t>
      </w:r>
    </w:p>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bookmarkStart w:id="2" w:name="_Hlk512852594"/>
      <w:r w:rsidRPr="000666A9">
        <w:rPr>
          <w:rFonts w:ascii="Times New Roman" w:hAnsi="Times New Roman" w:cs="Times New Roman"/>
          <w:sz w:val="24"/>
          <w:szCs w:val="24"/>
        </w:rPr>
        <w:t>W przypadku, gdy wniosek o dofinansowanie przewiduje trwałość projektu objętego grantem lub jego rezultatów, zwrot dokumentu stanowiącego zabezpieczenie następuje po upływie okresu trwałości.</w:t>
      </w:r>
    </w:p>
    <w:bookmarkEnd w:id="2"/>
    <w:p w:rsidR="00CE35AB" w:rsidRPr="000666A9" w:rsidRDefault="00CE35AB" w:rsidP="000666A9">
      <w:pPr>
        <w:pStyle w:val="Akapitzlist"/>
        <w:numPr>
          <w:ilvl w:val="0"/>
          <w:numId w:val="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lastRenderedPageBreak/>
        <w:t>W przypadku wszczęcia postępowania windykacyjnego, zwrot zabezpieczenia może nastąpić po zakończeniu postępowania.</w:t>
      </w:r>
    </w:p>
    <w:p w:rsidR="00CE35AB" w:rsidRPr="000666A9" w:rsidRDefault="00CE35AB" w:rsidP="000666A9">
      <w:pPr>
        <w:spacing w:before="0" w:after="0"/>
        <w:jc w:val="center"/>
        <w:rPr>
          <w:rFonts w:ascii="Times New Roman" w:hAnsi="Times New Roman" w:cs="Times New Roman"/>
          <w:b/>
          <w:sz w:val="24"/>
          <w:szCs w:val="24"/>
        </w:rPr>
      </w:pPr>
    </w:p>
    <w:p w:rsidR="00CE35AB" w:rsidRPr="00E37859" w:rsidRDefault="00CE35AB" w:rsidP="00E37859">
      <w:pPr>
        <w:pStyle w:val="Akapitzlist"/>
        <w:numPr>
          <w:ilvl w:val="0"/>
          <w:numId w:val="35"/>
        </w:numPr>
        <w:spacing w:before="0" w:after="0"/>
        <w:jc w:val="center"/>
        <w:rPr>
          <w:rFonts w:ascii="Times New Roman" w:hAnsi="Times New Roman" w:cs="Times New Roman"/>
          <w:b/>
          <w:sz w:val="24"/>
          <w:szCs w:val="24"/>
        </w:rPr>
      </w:pPr>
      <w:r w:rsidRPr="00E37859">
        <w:rPr>
          <w:rFonts w:ascii="Times New Roman" w:hAnsi="Times New Roman" w:cs="Times New Roman"/>
          <w:b/>
          <w:sz w:val="24"/>
          <w:szCs w:val="24"/>
        </w:rPr>
        <w:t>Monitoring i sprawozdawczość</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pomiaru wartości wskaźników osiągniętych dzięki realizacji projektu objętego grantem, zgodnie z wnioskiem o dofinansowanie, w okresie realizacji i trwałości projektu objętego grantem.</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złożenia do LGD wniosku o rozliczenie grantu zawierającego informacje o postępie rzeczowym projektu objętego grantem.</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wykazania i opisania w części wniosku o rozliczenie grantu dotyczącej postępu rzeczowego, które z „działań równościowych” zaplanowanych we wniosku o dofinansowanie zostały zrealizowane oraz w jaki sposób realizacja projektu objętego grantem wpłynęła na sytuacje osób z niepełnosprawnościami, a także do wskazania (o ile będą występować) problemów lub trudności w realizacji zasady równości szans kobiet i mężczyzn.</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systematycznego monitorowania przebiegu realizacji projektu objętego grantem oraz niezwłocznego, w terminie nie dłuższym niż 14 dni od dnia uzyskania informacji o wystąpieniu nieprawidłowości lub podjęcia decyzji o zaprzestaniu realizacji projektu objętego grantem, informowania LGD o zaistniałych nieprawidłowościach lub o zamiarze zaprzestania realizacji projektu objętego grantem, w tym o zagrożeniu niewykonania wskaźników.</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systematycznego monitorowania przebiegu realizacji projektu objętego grantem i składania, nie rzadziej niż raz na kwartał, wniosku sprawozdawczego;</w:t>
      </w:r>
    </w:p>
    <w:p w:rsidR="00CE35AB" w:rsidRPr="000666A9" w:rsidRDefault="00CE35AB" w:rsidP="000666A9">
      <w:pPr>
        <w:pStyle w:val="Akapitzlist"/>
        <w:numPr>
          <w:ilvl w:val="0"/>
          <w:numId w:val="8"/>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przekazywania LGD wszelkich dokumentów i informacji związanych z realizacją projektu objętego grantem, na wniosek i w terminie wskazanym przez LGD.</w:t>
      </w:r>
    </w:p>
    <w:p w:rsidR="00CE35AB" w:rsidRPr="000666A9" w:rsidRDefault="00CE35AB" w:rsidP="000666A9">
      <w:pPr>
        <w:spacing w:before="0" w:after="0"/>
        <w:jc w:val="center"/>
        <w:rPr>
          <w:rFonts w:ascii="Times New Roman" w:hAnsi="Times New Roman" w:cs="Times New Roman"/>
          <w:b/>
          <w:sz w:val="24"/>
          <w:szCs w:val="24"/>
        </w:rPr>
      </w:pPr>
    </w:p>
    <w:p w:rsidR="00CE35AB" w:rsidRPr="00883A98" w:rsidRDefault="00CE35AB" w:rsidP="00883A98">
      <w:pPr>
        <w:pStyle w:val="Akapitzlist"/>
        <w:numPr>
          <w:ilvl w:val="0"/>
          <w:numId w:val="35"/>
        </w:numPr>
        <w:spacing w:before="0" w:after="0"/>
        <w:jc w:val="center"/>
        <w:rPr>
          <w:rFonts w:ascii="Times New Roman" w:hAnsi="Times New Roman" w:cs="Times New Roman"/>
          <w:b/>
          <w:sz w:val="24"/>
          <w:szCs w:val="24"/>
        </w:rPr>
      </w:pPr>
      <w:bookmarkStart w:id="3" w:name="_Hlk512852618"/>
      <w:r w:rsidRPr="00883A98">
        <w:rPr>
          <w:rFonts w:ascii="Times New Roman" w:hAnsi="Times New Roman" w:cs="Times New Roman"/>
          <w:b/>
          <w:sz w:val="24"/>
          <w:szCs w:val="24"/>
        </w:rPr>
        <w:t>Kontrola i audyt</w:t>
      </w:r>
      <w:bookmarkEnd w:id="3"/>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zakresie prawidłowości realizacji Grantu, Grantobiorca jest zobowiązany poddać się kontroli i audytom dokonywanym przez LGD, Instytucję Zarządzającą RPO WK-P oraz inne podmioty uprawnione do ich przeprowadzenia.</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Kontrole oraz audyty mogą być przeprowadzane w każdym czasie od dnia podpisania umowy o dofinansowanie na realizacje projektu objętego grantem i nie później niż do końca okresu określonego zgodnie z art. 140 ust. 1 rozporządzenia ogólnego, z zastrzeżeniem przepisów, które mogą przewidywać dłuższy termin przeprowadzania kontroli, dotyczących trwałości projektu objętego grantem, pomocy publicznej, oraz podatku, o którym mowa w ustawie o podatku od towarów i usług.</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lastRenderedPageBreak/>
        <w:t>Kontrole oraz audyty mogą być przeprowadzane w siedzibie/biurze kontrolującego na podstawie dostarczonych dokumentów lub w każdym miejscu bezpośrednio związanym z realizacją projektu objętego grantem.</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udostępnić podmiotom, o których mowa w ust. 1, dokumenty związane bezpośrednio z realizacją projektu objętego grantem, w szczególności dokumenty umożliwiające rozliczenie kwoty uproszczonej, w tym dokumenty elektroniczne oraz dostęp do pomieszczeń i terenu realizacji projektu objętego grantem oraz do wykorzystywanych w związku z realizacją projektu objętego grantem systemów teleinformatycznych oraz umożliwienie tworzenia ich uwierzytelnionych kopii i odpisów.</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Jeżeli jest to konieczne, do stwierdzenia prawidłowej realizacji projektu objętego grantem, Grantobiorca jest zobowiązany udostępnić podmiotom, o których mowa w ust. 1, również dokumenty niezwiązane bezpośrednio z realizacją projektu objętego grantem.</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Podmioty uprawnione do przeprowadzania kontroli lub audytu, w celu potwierdzenia prawidłowości i kwalifikowalności poniesionych wydatków, mogą zwrócić się o złożenie wyjaśnień do osób zaangażowanych w realizację projektu objętego grantem.</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wyniku kontroli wydawane są zalecenia pokontrolne, a Grantobiorca jest zobowiązany do podjęcia stosownych działań naprawczych w terminie określonym w tych zaleceniach.</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Ustalenia podmiotów, o których mowa w ust. 1, mogą prowadzić do korekty wysokości grantu w ramach projektu objętego grantem.</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informowania LGD o wynikach przeprowadzonych kontroli i audytów, w terminie 7 dni roboczych od ich otrzymania. Grantobiorca jest również zobowiązany do informowania LGD o sporządzonych wyjaśnieniach oraz do przekazywania informacji na temat wykonania zaleceń pokontrolnych.</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zastrzega sobie możliwość przeprowadzenia kontroli u Grantobiorcy w okresie od dnia rozpoczęcia realizacji projektu do dnia zatwierdzenia przez LGD końcowego wniosku o rozliczenie grantu. Kontrola zostanie zapowiedziana w terminie nie krótszym niż 3 dni robocze od terminu kontroli. Grantobiorca zostanie poinformowany o celu kontroli i jej zakresie.</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zastrzega sobie możliwość przeprowadzenia kontroli bez zapowiedzi, szczególnie w przypadku, gdy LGD podejmie informację o nieprawidłowościach w realizacji Umowy o dofinansowanie przez Grantobiorcę.</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trakcie kontroli zweryfikowana zostanie przez LGD zgodność realizowanych zadań przez Grantobiorcę z zapisami zawartymi w Umowie, jak również dokumentacja związana z powierzonym grantem a w szczególności dokumenty potwierdzające osiągnięcie założonych rezultatów np. listy obecności, certyfikaty, zaświadczenia, dokumenty i produkty wytworzone w wyniku realizacji projektu objętego grantem, umowy zawarte pomiędzy Grantobiorcą a Użytkownikiem, protokoły odbioru.</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lastRenderedPageBreak/>
        <w:t>Z przeprowadzonej kontroli sporządzona zostanie informacja pokontrolna, której zapisy zostaną przedstawione Grantobiorcy. Informacja pokontrolna musi zostać przedstawiona Grantobiorcy nie później niż do 10 dni roboczych po zakończeniu kontroli przez LGD. Grantobiorca ma możliwość wniesienia zastrzeżeń i uwag do informacji pokontrolnej w terminie do 5 dni roboczych od jego otrzymania.</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przypadku wskazania przez LGD działań naprawczych, Grantobiorca podejmie się działań naprawczych w terminie do 30 dni od przyjęcia informacji pokontrolnej, a LGD ma obowiązek przeprowadzenia wizyty monitoringowej, której celem będzie zweryfikowanie wywiązania się Grantobiorcy z zaleconych działań naprawczych.</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LGD zastrzega sobie możliwość przeprowadzenia wizyty monitoringowej bez zapowiedzi, w miejscu realizacji zadania celem weryfikacji u Grantobiorcy postępów w realizacji zadania.</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zobowiązany jest do cyklicznego (min. raz na miesiąc) przesyłania szczegółowego harmonogramu realizacji wsparcia oferowanego w ramach projektu objętego celem umożliwienia przeprowadzenia przez LGD wizyty monitoringowej w każdym czasie.</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Harmonogram realizacji wsparcia, o którym mowa w ust. 16, składany jest do LGD każdorazowo w terminie do 10-go dnia miesiąca na miesiąc następny, na formularzu stanowiącym załącznik …. do Umowy. Grantobiorca jest zobowiązany do niezwłocznego zaktualizowania harmonogramu realizacji wsparcia każdorazowo, kiedy zajdą w nim zmiany uniemożliwiające przeprowadzenie wizyty monitoringowej. </w:t>
      </w:r>
    </w:p>
    <w:p w:rsidR="00CE35AB" w:rsidRPr="000666A9" w:rsidRDefault="00CE35AB" w:rsidP="00883A9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Harmonogram realizacji wsparcia składany jest do LGD osobiście, pocztą tradycyjną lub za pośrednictwem poczty elektronicznej. O zachowaniu terminu decyduje data wpływu do LGD. </w:t>
      </w:r>
    </w:p>
    <w:p w:rsidR="00CE35AB" w:rsidRPr="00610658" w:rsidRDefault="00CE35AB" w:rsidP="00610658">
      <w:pPr>
        <w:pStyle w:val="Akapitzlist"/>
        <w:numPr>
          <w:ilvl w:val="0"/>
          <w:numId w:val="9"/>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 Niewywiązanie się ze zobowiązań, o których mowa w ust. 16-17, traktowane jest jako utrudnianie przeprowadzenia kontroli przez LGD i może skutkować rozwiązaniem umowy o </w:t>
      </w:r>
      <w:r w:rsidR="00A82078">
        <w:rPr>
          <w:rFonts w:ascii="Times New Roman" w:hAnsi="Times New Roman" w:cs="Times New Roman"/>
          <w:sz w:val="24"/>
          <w:szCs w:val="24"/>
        </w:rPr>
        <w:t>powierzenie grantu</w:t>
      </w:r>
      <w:r w:rsidRPr="000666A9">
        <w:rPr>
          <w:rFonts w:ascii="Times New Roman" w:hAnsi="Times New Roman" w:cs="Times New Roman"/>
          <w:sz w:val="24"/>
          <w:szCs w:val="24"/>
        </w:rPr>
        <w:t xml:space="preserve">. </w:t>
      </w:r>
    </w:p>
    <w:p w:rsidR="00CE35AB" w:rsidRPr="000666A9" w:rsidRDefault="00CE35AB" w:rsidP="000666A9">
      <w:pPr>
        <w:spacing w:before="0" w:after="0"/>
        <w:jc w:val="center"/>
        <w:rPr>
          <w:rFonts w:ascii="Times New Roman" w:hAnsi="Times New Roman" w:cs="Times New Roman"/>
          <w:b/>
          <w:sz w:val="24"/>
          <w:szCs w:val="24"/>
        </w:rPr>
      </w:pPr>
    </w:p>
    <w:p w:rsidR="00CE35AB" w:rsidRPr="009D6C03" w:rsidRDefault="009D6C03" w:rsidP="009D6C03">
      <w:pPr>
        <w:pStyle w:val="Akapitzlist"/>
        <w:numPr>
          <w:ilvl w:val="0"/>
          <w:numId w:val="35"/>
        </w:numPr>
        <w:spacing w:before="0" w:after="0"/>
        <w:jc w:val="center"/>
        <w:rPr>
          <w:rFonts w:ascii="Times New Roman" w:hAnsi="Times New Roman" w:cs="Times New Roman"/>
          <w:b/>
          <w:sz w:val="24"/>
          <w:szCs w:val="24"/>
        </w:rPr>
      </w:pPr>
      <w:r>
        <w:rPr>
          <w:rFonts w:ascii="Times New Roman" w:hAnsi="Times New Roman" w:cs="Times New Roman"/>
          <w:b/>
          <w:sz w:val="24"/>
          <w:szCs w:val="24"/>
        </w:rPr>
        <w:t>Aneks do umowy o powierzenie grantu</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realizacji zaakceptowanego przez LGD projektu objętego grantem zgodnie z Umową.</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Zmiany w projekcie objętym grantem dopuszczalne są tylko w wyjątkowych i uzasadnionych przypadkach i wymagają uzyskania akceptacji ze strony LGD.</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Przez zmiany zaakceptowane przez LGD należy rozumieć zmiany zaakceptowane na piśmie podpisanym przez osobę upoważnioną.</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 xml:space="preserve">Grantobiorca zgłasza LGD, w formie pisemnej, zmiany dotyczące realizacji projektu objętego grantem przed ich wprowadzeniem, nie później niż na 30 dni przed planowanym zakończeniem realizacji projektu objętego </w:t>
      </w:r>
      <w:r w:rsidR="00610658">
        <w:rPr>
          <w:rFonts w:ascii="Times New Roman" w:hAnsi="Times New Roman" w:cs="Times New Roman"/>
          <w:sz w:val="24"/>
          <w:szCs w:val="24"/>
        </w:rPr>
        <w:t>grantem, określonym w Umowie</w:t>
      </w:r>
      <w:r w:rsidRPr="000666A9">
        <w:rPr>
          <w:rFonts w:ascii="Times New Roman" w:hAnsi="Times New Roman" w:cs="Times New Roman"/>
          <w:sz w:val="24"/>
          <w:szCs w:val="24"/>
        </w:rPr>
        <w:t>.</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lastRenderedPageBreak/>
        <w:t>LGD może z własnej inicjatywy zaproponować wprowadzenie zmian do Umowy.</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przypadku wystąpienia niezależnych od Grantobiorcy okoliczności, powodujących konieczność wprowadzenia zmian do projektu objętego grantem, Grantobiorca może zawnioskować do LGD o wprowadzenie zmiany Umowy przedstawiając uzasadnienie a LGD podejmuje decyzję odnośnie możliwości wprowadzenia zmian.</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Zmiany w Umowie nie mogą prowadzić do zwiększenia wysokości</w:t>
      </w:r>
      <w:r w:rsidR="00610658">
        <w:rPr>
          <w:rFonts w:ascii="Times New Roman" w:hAnsi="Times New Roman" w:cs="Times New Roman"/>
          <w:sz w:val="24"/>
          <w:szCs w:val="24"/>
        </w:rPr>
        <w:t xml:space="preserve"> grantu określonego w  Umowie</w:t>
      </w:r>
      <w:r w:rsidRPr="000666A9">
        <w:rPr>
          <w:rFonts w:ascii="Times New Roman" w:hAnsi="Times New Roman" w:cs="Times New Roman"/>
          <w:sz w:val="24"/>
          <w:szCs w:val="24"/>
        </w:rPr>
        <w:t xml:space="preserve"> oraz niedopuszczalne są zmiany, które wpływałyby na zmianę i obniżenie wskaźników.</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Nie jest dopuszczalna zmiana w projekcie objętym grantem, w rezultacie której projekt objęty grantem przestałby spełniać kryteria wyboru warunkujące otrzymanie grantu.</w:t>
      </w:r>
    </w:p>
    <w:p w:rsidR="00CE35AB" w:rsidRPr="000666A9" w:rsidRDefault="00CE35AB" w:rsidP="000666A9">
      <w:pPr>
        <w:pStyle w:val="Akapitzlist"/>
        <w:numPr>
          <w:ilvl w:val="0"/>
          <w:numId w:val="15"/>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Zmiany w Umowie, o ile jej zapisy nie stanowią inaczej, wymagają formy pisemnej pod rygorem nieważności.</w:t>
      </w:r>
    </w:p>
    <w:p w:rsidR="00CE35AB" w:rsidRPr="000666A9" w:rsidRDefault="00CE35AB" w:rsidP="00610658">
      <w:pPr>
        <w:spacing w:before="0" w:after="0"/>
        <w:rPr>
          <w:rFonts w:ascii="Times New Roman" w:hAnsi="Times New Roman" w:cs="Times New Roman"/>
          <w:b/>
          <w:sz w:val="24"/>
          <w:szCs w:val="24"/>
        </w:rPr>
      </w:pPr>
    </w:p>
    <w:p w:rsidR="00CE35AB" w:rsidRPr="00610658" w:rsidRDefault="00CE35AB" w:rsidP="00610658">
      <w:pPr>
        <w:pStyle w:val="Akapitzlist"/>
        <w:numPr>
          <w:ilvl w:val="0"/>
          <w:numId w:val="35"/>
        </w:numPr>
        <w:spacing w:before="0" w:after="0"/>
        <w:jc w:val="center"/>
        <w:rPr>
          <w:rFonts w:ascii="Times New Roman" w:hAnsi="Times New Roman" w:cs="Times New Roman"/>
          <w:b/>
          <w:sz w:val="24"/>
          <w:szCs w:val="24"/>
        </w:rPr>
      </w:pPr>
      <w:r w:rsidRPr="00610658">
        <w:rPr>
          <w:rFonts w:ascii="Times New Roman" w:hAnsi="Times New Roman" w:cs="Times New Roman"/>
          <w:b/>
          <w:sz w:val="24"/>
          <w:szCs w:val="24"/>
        </w:rPr>
        <w:t>Zwrot środków</w:t>
      </w:r>
    </w:p>
    <w:p w:rsidR="00CE35AB" w:rsidRPr="000666A9" w:rsidRDefault="00CE35AB" w:rsidP="000666A9">
      <w:pPr>
        <w:pStyle w:val="Akapitzlist"/>
        <w:numPr>
          <w:ilvl w:val="0"/>
          <w:numId w:val="1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Jeżeli na podstawie wniosku o rozliczenie grantu lub czynności kontrolnych przeprowadzonych przez uprawnione organy zostanie stwierdzone, że Grantobiorca:</w:t>
      </w:r>
    </w:p>
    <w:p w:rsidR="00CE35AB" w:rsidRPr="000666A9" w:rsidRDefault="00CE35AB" w:rsidP="000666A9">
      <w:pPr>
        <w:pStyle w:val="Akapitzlist"/>
        <w:numPr>
          <w:ilvl w:val="0"/>
          <w:numId w:val="17"/>
        </w:numPr>
        <w:spacing w:before="0" w:after="0"/>
        <w:rPr>
          <w:rFonts w:ascii="Times New Roman" w:hAnsi="Times New Roman" w:cs="Times New Roman"/>
          <w:sz w:val="24"/>
          <w:szCs w:val="24"/>
        </w:rPr>
      </w:pPr>
      <w:r w:rsidRPr="000666A9">
        <w:rPr>
          <w:rFonts w:ascii="Times New Roman" w:hAnsi="Times New Roman" w:cs="Times New Roman"/>
          <w:sz w:val="24"/>
          <w:szCs w:val="24"/>
        </w:rPr>
        <w:t>wykorzystał grant niezgodnie z przeznaczeniem;</w:t>
      </w:r>
    </w:p>
    <w:p w:rsidR="00CE35AB" w:rsidRPr="000666A9" w:rsidRDefault="00CE35AB" w:rsidP="000666A9">
      <w:pPr>
        <w:pStyle w:val="Akapitzlist"/>
        <w:numPr>
          <w:ilvl w:val="0"/>
          <w:numId w:val="17"/>
        </w:numPr>
        <w:spacing w:before="0" w:after="0"/>
        <w:rPr>
          <w:rFonts w:ascii="Times New Roman" w:hAnsi="Times New Roman" w:cs="Times New Roman"/>
          <w:sz w:val="24"/>
          <w:szCs w:val="24"/>
        </w:rPr>
      </w:pPr>
      <w:r w:rsidRPr="000666A9">
        <w:rPr>
          <w:rFonts w:ascii="Times New Roman" w:hAnsi="Times New Roman" w:cs="Times New Roman"/>
          <w:sz w:val="24"/>
          <w:szCs w:val="24"/>
        </w:rPr>
        <w:t>wykorzystał grant z naruszeniem procedur, o których mowa w art. 184 ustawy o finansach publicznych;</w:t>
      </w:r>
    </w:p>
    <w:p w:rsidR="00CE35AB" w:rsidRPr="000666A9" w:rsidRDefault="00CE35AB" w:rsidP="000666A9">
      <w:pPr>
        <w:pStyle w:val="Akapitzlist"/>
        <w:numPr>
          <w:ilvl w:val="0"/>
          <w:numId w:val="17"/>
        </w:numPr>
        <w:spacing w:before="0" w:after="0"/>
        <w:rPr>
          <w:rFonts w:ascii="Times New Roman" w:hAnsi="Times New Roman" w:cs="Times New Roman"/>
          <w:sz w:val="24"/>
          <w:szCs w:val="24"/>
        </w:rPr>
      </w:pPr>
      <w:r w:rsidRPr="000666A9">
        <w:rPr>
          <w:rFonts w:ascii="Times New Roman" w:hAnsi="Times New Roman" w:cs="Times New Roman"/>
          <w:sz w:val="24"/>
          <w:szCs w:val="24"/>
        </w:rPr>
        <w:t>pobrał całość lub część grantu w sposób nienależny, lub w nadmiernej wysokości;</w:t>
      </w:r>
    </w:p>
    <w:p w:rsidR="00CE35AB" w:rsidRPr="00610658" w:rsidRDefault="00CE35AB" w:rsidP="00610658">
      <w:pPr>
        <w:pStyle w:val="Akapitzlist"/>
        <w:numPr>
          <w:ilvl w:val="0"/>
          <w:numId w:val="17"/>
        </w:numPr>
        <w:spacing w:before="0" w:after="0"/>
        <w:rPr>
          <w:rFonts w:ascii="Times New Roman" w:hAnsi="Times New Roman" w:cs="Times New Roman"/>
          <w:sz w:val="24"/>
          <w:szCs w:val="24"/>
        </w:rPr>
      </w:pPr>
      <w:r w:rsidRPr="000666A9">
        <w:rPr>
          <w:rFonts w:ascii="Times New Roman" w:hAnsi="Times New Roman" w:cs="Times New Roman"/>
          <w:sz w:val="24"/>
          <w:szCs w:val="24"/>
        </w:rPr>
        <w:t>nie osiągnął i nie udokumentował założonych wskaźników</w:t>
      </w:r>
      <w:r w:rsidR="00610658">
        <w:rPr>
          <w:rFonts w:ascii="Times New Roman" w:hAnsi="Times New Roman" w:cs="Times New Roman"/>
          <w:sz w:val="24"/>
          <w:szCs w:val="24"/>
        </w:rPr>
        <w:t>.</w:t>
      </w:r>
    </w:p>
    <w:p w:rsidR="00CE35AB" w:rsidRPr="000666A9" w:rsidRDefault="00CE35AB" w:rsidP="000666A9">
      <w:pPr>
        <w:pStyle w:val="Akapitzlist"/>
        <w:numPr>
          <w:ilvl w:val="0"/>
          <w:numId w:val="1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W sytuacji, o której mowa w ust. 1, LGD wzywa Grantobiorcę do dokonania zwrotu lub pomniejsza o odpowiednią kwotę kolejną transzę grantu dla Grantobiorcy.</w:t>
      </w:r>
    </w:p>
    <w:p w:rsidR="00CE35AB" w:rsidRPr="000666A9" w:rsidRDefault="00CE35AB" w:rsidP="000666A9">
      <w:pPr>
        <w:pStyle w:val="Akapitzlist"/>
        <w:numPr>
          <w:ilvl w:val="0"/>
          <w:numId w:val="1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Odsetki, w wysokości jak dla zaległości podatkowych, od środków dofinansowania, o których mowa w ust. 1 są naliczane od dnia przekazania grantu na rachunek bankowy wskazany przez Grantobiorcę, do dnia zwrotu środków.</w:t>
      </w:r>
    </w:p>
    <w:p w:rsidR="00CE35AB" w:rsidRPr="000666A9" w:rsidRDefault="00CE35AB" w:rsidP="000666A9">
      <w:pPr>
        <w:pStyle w:val="Akapitzlist"/>
        <w:numPr>
          <w:ilvl w:val="0"/>
          <w:numId w:val="16"/>
        </w:numPr>
        <w:spacing w:before="0" w:after="0"/>
        <w:ind w:left="426" w:hanging="426"/>
        <w:rPr>
          <w:rFonts w:ascii="Times New Roman" w:hAnsi="Times New Roman" w:cs="Times New Roman"/>
          <w:sz w:val="24"/>
          <w:szCs w:val="24"/>
        </w:rPr>
      </w:pPr>
      <w:r w:rsidRPr="000666A9">
        <w:rPr>
          <w:rFonts w:ascii="Times New Roman" w:hAnsi="Times New Roman" w:cs="Times New Roman"/>
          <w:sz w:val="24"/>
          <w:szCs w:val="24"/>
        </w:rPr>
        <w:t>Grantobiorca jest zobowiązany do zapłaty odsetek, którymi może zostać ewentualnie obciążona LGD w następstwie konieczności zwrotu środków przez Grantobiorcę, o którym mowa w ust. 1.</w:t>
      </w:r>
    </w:p>
    <w:p w:rsidR="00CE35AB" w:rsidRPr="00315BD8" w:rsidRDefault="00CE35AB" w:rsidP="00315BD8">
      <w:pPr>
        <w:pStyle w:val="Akapitzlist"/>
        <w:numPr>
          <w:ilvl w:val="0"/>
          <w:numId w:val="16"/>
        </w:numPr>
        <w:spacing w:before="0" w:after="0"/>
        <w:ind w:left="426" w:hanging="426"/>
        <w:rPr>
          <w:rFonts w:ascii="Times New Roman" w:hAnsi="Times New Roman" w:cs="Times New Roman"/>
          <w:sz w:val="24"/>
          <w:szCs w:val="24"/>
        </w:rPr>
      </w:pPr>
      <w:r w:rsidRPr="00315BD8">
        <w:rPr>
          <w:rFonts w:ascii="Times New Roman" w:hAnsi="Times New Roman" w:cs="Times New Roman"/>
          <w:sz w:val="24"/>
          <w:szCs w:val="24"/>
        </w:rPr>
        <w:t>W przypadku, gdy kwota do odzyskania jest wyższa niż kwota pozostająca do przekazania w ramach kolejnej transzy grantu lub nie jest możliwe dokonanie pomniejszenia, a Grantobiorca nie dokonał zwrotu w terminie 14 dni od dnia doręczenia wezwania, o którym mowa w ust. 2, LGD podejmuje czynności zmierzające do odzyskania należnych środków z wykorzystaniem dostępnych środków prawnych, w szczególności zab</w:t>
      </w:r>
      <w:r w:rsidR="00610658" w:rsidRPr="00315BD8">
        <w:rPr>
          <w:rFonts w:ascii="Times New Roman" w:hAnsi="Times New Roman" w:cs="Times New Roman"/>
          <w:sz w:val="24"/>
          <w:szCs w:val="24"/>
        </w:rPr>
        <w:t>ezpieczenia, o którym mowa w Umowie</w:t>
      </w:r>
      <w:r w:rsidRPr="00315BD8">
        <w:rPr>
          <w:rFonts w:ascii="Times New Roman" w:hAnsi="Times New Roman" w:cs="Times New Roman"/>
          <w:sz w:val="24"/>
          <w:szCs w:val="24"/>
        </w:rPr>
        <w:t xml:space="preserve"> oraz na zasadach określonych w przepisach o postępowaniu windykacyjnym. Koszty czynności zmierzających do odzyskania środków, o których mowa w ust. 1, w całości obciążają Grantobiorcę.</w:t>
      </w:r>
    </w:p>
    <w:p w:rsidR="007F049B" w:rsidRPr="000666A9" w:rsidRDefault="007F049B" w:rsidP="000666A9">
      <w:pPr>
        <w:rPr>
          <w:rFonts w:ascii="Times New Roman" w:hAnsi="Times New Roman" w:cs="Times New Roman"/>
          <w:sz w:val="24"/>
          <w:szCs w:val="24"/>
        </w:rPr>
      </w:pPr>
    </w:p>
    <w:sectPr w:rsidR="007F049B" w:rsidRPr="000666A9" w:rsidSect="000666A9">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7D" w:rsidRDefault="00DD047D" w:rsidP="00CE35AB">
      <w:pPr>
        <w:spacing w:before="0" w:after="0" w:line="240" w:lineRule="auto"/>
      </w:pPr>
      <w:r>
        <w:separator/>
      </w:r>
    </w:p>
  </w:endnote>
  <w:endnote w:type="continuationSeparator" w:id="0">
    <w:p w:rsidR="00DD047D" w:rsidRDefault="00DD047D" w:rsidP="00CE3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7D" w:rsidRDefault="00DD047D" w:rsidP="00CE35AB">
      <w:pPr>
        <w:spacing w:before="0" w:after="0" w:line="240" w:lineRule="auto"/>
      </w:pPr>
      <w:r>
        <w:separator/>
      </w:r>
    </w:p>
  </w:footnote>
  <w:footnote w:type="continuationSeparator" w:id="0">
    <w:p w:rsidR="00DD047D" w:rsidRDefault="00DD047D" w:rsidP="00CE35AB">
      <w:pPr>
        <w:spacing w:before="0" w:after="0" w:line="240" w:lineRule="auto"/>
      </w:pPr>
      <w:r>
        <w:continuationSeparator/>
      </w:r>
    </w:p>
  </w:footnote>
  <w:footnote w:id="1">
    <w:p w:rsidR="00CE35AB" w:rsidRDefault="00CE35AB" w:rsidP="00CE35AB">
      <w:pPr>
        <w:pStyle w:val="Tekstprzypisudolnego"/>
      </w:pPr>
      <w:r w:rsidRPr="002808A9">
        <w:rPr>
          <w:rStyle w:val="Odwoanieprzypisudolnego"/>
          <w:rFonts w:ascii="Bookman Old Style" w:hAnsi="Bookman Old Style"/>
          <w:sz w:val="16"/>
          <w:szCs w:val="16"/>
        </w:rPr>
        <w:footnoteRef/>
      </w:r>
      <w:r w:rsidRPr="002808A9">
        <w:rPr>
          <w:rFonts w:ascii="Bookman Old Style" w:hAnsi="Bookman Old Style"/>
          <w:sz w:val="16"/>
          <w:szCs w:val="16"/>
        </w:rPr>
        <w:t xml:space="preserve"> Nie dotyczy jednostek sektora finansów publicznych.</w:t>
      </w:r>
    </w:p>
  </w:footnote>
  <w:footnote w:id="2">
    <w:p w:rsidR="00CE35AB" w:rsidRPr="00581779" w:rsidRDefault="00CE35AB" w:rsidP="00CE35AB">
      <w:pPr>
        <w:pStyle w:val="Tekstprzypisudolnego"/>
        <w:rPr>
          <w:rFonts w:ascii="Bookman Old Style" w:hAnsi="Bookman Old Style"/>
          <w:sz w:val="16"/>
          <w:szCs w:val="16"/>
        </w:rPr>
      </w:pPr>
      <w:r w:rsidRPr="00581779">
        <w:rPr>
          <w:rStyle w:val="Odwoanieprzypisudolnego"/>
          <w:rFonts w:ascii="Bookman Old Style" w:hAnsi="Bookman Old Style"/>
          <w:sz w:val="16"/>
          <w:szCs w:val="16"/>
        </w:rPr>
        <w:footnoteRef/>
      </w:r>
      <w:r>
        <w:rPr>
          <w:rFonts w:ascii="Bookman Old Style" w:hAnsi="Bookman Old Style"/>
          <w:sz w:val="16"/>
          <w:szCs w:val="16"/>
        </w:rPr>
        <w:t xml:space="preserve"> </w:t>
      </w:r>
      <w:r w:rsidRPr="00581779">
        <w:rPr>
          <w:rFonts w:ascii="Bookman Old Style" w:hAnsi="Bookman Old Style"/>
          <w:sz w:val="16"/>
          <w:szCs w:val="16"/>
        </w:rPr>
        <w:t>Grantobiorca proponuje określoną formę dodatkowego zabezpieczenia. Decyzję o dodatkowym zabezpieczeniu podejmuje ostatecznie LGD.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55E"/>
    <w:multiLevelType w:val="hybridMultilevel"/>
    <w:tmpl w:val="046AB4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D25249"/>
    <w:multiLevelType w:val="hybridMultilevel"/>
    <w:tmpl w:val="F2A2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A7765"/>
    <w:multiLevelType w:val="hybridMultilevel"/>
    <w:tmpl w:val="3A40F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27758"/>
    <w:multiLevelType w:val="hybridMultilevel"/>
    <w:tmpl w:val="65E0B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624FF1"/>
    <w:multiLevelType w:val="hybridMultilevel"/>
    <w:tmpl w:val="4AF8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F001E7"/>
    <w:multiLevelType w:val="hybridMultilevel"/>
    <w:tmpl w:val="612A1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B5ED5"/>
    <w:multiLevelType w:val="hybridMultilevel"/>
    <w:tmpl w:val="82A46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9355B"/>
    <w:multiLevelType w:val="hybridMultilevel"/>
    <w:tmpl w:val="54C8F7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510BAE"/>
    <w:multiLevelType w:val="hybridMultilevel"/>
    <w:tmpl w:val="A9547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EB7CB1"/>
    <w:multiLevelType w:val="hybridMultilevel"/>
    <w:tmpl w:val="BAB68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DC58AC"/>
    <w:multiLevelType w:val="hybridMultilevel"/>
    <w:tmpl w:val="09C41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411A36"/>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82865"/>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C40A7"/>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D77B3"/>
    <w:multiLevelType w:val="hybridMultilevel"/>
    <w:tmpl w:val="C5085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315EE"/>
    <w:multiLevelType w:val="hybridMultilevel"/>
    <w:tmpl w:val="9424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753DB7"/>
    <w:multiLevelType w:val="hybridMultilevel"/>
    <w:tmpl w:val="9808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66A25"/>
    <w:multiLevelType w:val="hybridMultilevel"/>
    <w:tmpl w:val="06C62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A476B0"/>
    <w:multiLevelType w:val="hybridMultilevel"/>
    <w:tmpl w:val="3D124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A66D5B"/>
    <w:multiLevelType w:val="hybridMultilevel"/>
    <w:tmpl w:val="35904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0E6D7E"/>
    <w:multiLevelType w:val="hybridMultilevel"/>
    <w:tmpl w:val="10B2F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D59B6"/>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4371BC"/>
    <w:multiLevelType w:val="hybridMultilevel"/>
    <w:tmpl w:val="F40043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BD6C90"/>
    <w:multiLevelType w:val="hybridMultilevel"/>
    <w:tmpl w:val="1F44B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A930C1"/>
    <w:multiLevelType w:val="hybridMultilevel"/>
    <w:tmpl w:val="4EA0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5B24FA"/>
    <w:multiLevelType w:val="hybridMultilevel"/>
    <w:tmpl w:val="AD6E0B26"/>
    <w:lvl w:ilvl="0" w:tplc="06FC4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803B24"/>
    <w:multiLevelType w:val="hybridMultilevel"/>
    <w:tmpl w:val="43FEF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EC02F2"/>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191275"/>
    <w:multiLevelType w:val="hybridMultilevel"/>
    <w:tmpl w:val="81982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F07FD9"/>
    <w:multiLevelType w:val="hybridMultilevel"/>
    <w:tmpl w:val="E8E63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FA5510"/>
    <w:multiLevelType w:val="hybridMultilevel"/>
    <w:tmpl w:val="22208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C12E6B"/>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5608A2"/>
    <w:multiLevelType w:val="hybridMultilevel"/>
    <w:tmpl w:val="469E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5A6CFF"/>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D35B00"/>
    <w:multiLevelType w:val="hybridMultilevel"/>
    <w:tmpl w:val="A91C1D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2"/>
  </w:num>
  <w:num w:numId="3">
    <w:abstractNumId w:val="2"/>
  </w:num>
  <w:num w:numId="4">
    <w:abstractNumId w:val="23"/>
  </w:num>
  <w:num w:numId="5">
    <w:abstractNumId w:val="10"/>
  </w:num>
  <w:num w:numId="6">
    <w:abstractNumId w:val="33"/>
  </w:num>
  <w:num w:numId="7">
    <w:abstractNumId w:val="26"/>
  </w:num>
  <w:num w:numId="8">
    <w:abstractNumId w:val="16"/>
  </w:num>
  <w:num w:numId="9">
    <w:abstractNumId w:val="4"/>
  </w:num>
  <w:num w:numId="10">
    <w:abstractNumId w:val="1"/>
  </w:num>
  <w:num w:numId="11">
    <w:abstractNumId w:val="13"/>
  </w:num>
  <w:num w:numId="12">
    <w:abstractNumId w:val="9"/>
  </w:num>
  <w:num w:numId="13">
    <w:abstractNumId w:val="7"/>
  </w:num>
  <w:num w:numId="14">
    <w:abstractNumId w:val="34"/>
  </w:num>
  <w:num w:numId="15">
    <w:abstractNumId w:val="29"/>
  </w:num>
  <w:num w:numId="16">
    <w:abstractNumId w:val="24"/>
  </w:num>
  <w:num w:numId="17">
    <w:abstractNumId w:val="35"/>
  </w:num>
  <w:num w:numId="18">
    <w:abstractNumId w:val="6"/>
  </w:num>
  <w:num w:numId="19">
    <w:abstractNumId w:val="28"/>
  </w:num>
  <w:num w:numId="20">
    <w:abstractNumId w:val="3"/>
  </w:num>
  <w:num w:numId="21">
    <w:abstractNumId w:val="14"/>
  </w:num>
  <w:num w:numId="22">
    <w:abstractNumId w:val="31"/>
  </w:num>
  <w:num w:numId="23">
    <w:abstractNumId w:val="12"/>
  </w:num>
  <w:num w:numId="24">
    <w:abstractNumId w:val="22"/>
  </w:num>
  <w:num w:numId="25">
    <w:abstractNumId w:val="19"/>
  </w:num>
  <w:num w:numId="26">
    <w:abstractNumId w:val="0"/>
  </w:num>
  <w:num w:numId="27">
    <w:abstractNumId w:val="11"/>
  </w:num>
  <w:num w:numId="28">
    <w:abstractNumId w:val="27"/>
  </w:num>
  <w:num w:numId="29">
    <w:abstractNumId w:val="30"/>
  </w:num>
  <w:num w:numId="30">
    <w:abstractNumId w:val="21"/>
  </w:num>
  <w:num w:numId="31">
    <w:abstractNumId w:val="18"/>
  </w:num>
  <w:num w:numId="32">
    <w:abstractNumId w:val="8"/>
  </w:num>
  <w:num w:numId="33">
    <w:abstractNumId w:val="5"/>
  </w:num>
  <w:num w:numId="34">
    <w:abstractNumId w:val="25"/>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AB"/>
    <w:rsid w:val="000160B7"/>
    <w:rsid w:val="000666A9"/>
    <w:rsid w:val="00091586"/>
    <w:rsid w:val="002761C3"/>
    <w:rsid w:val="00315BD8"/>
    <w:rsid w:val="003766CF"/>
    <w:rsid w:val="003F7DBE"/>
    <w:rsid w:val="004A55D6"/>
    <w:rsid w:val="00570E78"/>
    <w:rsid w:val="005B5830"/>
    <w:rsid w:val="006065A5"/>
    <w:rsid w:val="00610658"/>
    <w:rsid w:val="006B1197"/>
    <w:rsid w:val="00740BB0"/>
    <w:rsid w:val="007E6825"/>
    <w:rsid w:val="007F049B"/>
    <w:rsid w:val="00804433"/>
    <w:rsid w:val="00883A98"/>
    <w:rsid w:val="008B6EB4"/>
    <w:rsid w:val="009D6C03"/>
    <w:rsid w:val="00A82078"/>
    <w:rsid w:val="00B848A1"/>
    <w:rsid w:val="00CE35AB"/>
    <w:rsid w:val="00DD047D"/>
    <w:rsid w:val="00E37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7C95"/>
  <w15:chartTrackingRefBased/>
  <w15:docId w15:val="{AB26C2A7-7796-4481-AF6C-1374F23B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5AB"/>
    <w:pPr>
      <w:spacing w:before="240"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CE35AB"/>
    <w:pPr>
      <w:ind w:left="720"/>
      <w:contextualSpacing/>
    </w:pPr>
  </w:style>
  <w:style w:type="character" w:customStyle="1" w:styleId="AkapitzlistZnak">
    <w:name w:val="Akapit z listą Znak"/>
    <w:link w:val="Akapitzlist"/>
    <w:qFormat/>
    <w:locked/>
    <w:rsid w:val="00CE35AB"/>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CE35AB"/>
    <w:pPr>
      <w:spacing w:before="0"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CE35AB"/>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nhideWhenUsed/>
    <w:qFormat/>
    <w:rsid w:val="00CE35AB"/>
    <w:rPr>
      <w:vertAlign w:val="superscript"/>
    </w:rPr>
  </w:style>
  <w:style w:type="paragraph" w:customStyle="1" w:styleId="Standard">
    <w:name w:val="Standard"/>
    <w:rsid w:val="006065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3207</Words>
  <Characters>19248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biuropodgrodzietorunskie@outlook.com</dc:creator>
  <cp:keywords/>
  <dc:description/>
  <cp:lastModifiedBy>biuropodgrodzietorunskie@outlook.com</cp:lastModifiedBy>
  <cp:revision>5</cp:revision>
  <dcterms:created xsi:type="dcterms:W3CDTF">2019-11-06T07:03:00Z</dcterms:created>
  <dcterms:modified xsi:type="dcterms:W3CDTF">2019-11-12T10:05:00Z</dcterms:modified>
</cp:coreProperties>
</file>